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sz w:val="28"/>
          <w:szCs w:val="28"/>
          <w:lang w:val="en-US"/>
        </w:rPr>
      </w:pPr>
      <w:r w:rsidRPr="00663776">
        <w:rPr>
          <w:rFonts w:ascii="Sanchez Regular" w:hAnsi="Sanchez Regular" w:cs="Sanchez Regular"/>
          <w:sz w:val="28"/>
          <w:szCs w:val="28"/>
          <w:lang w:val="en-US"/>
        </w:rPr>
        <w:t xml:space="preserve">Publications référencées </w:t>
      </w:r>
      <w:proofErr w:type="gramStart"/>
      <w:r w:rsidRPr="00663776">
        <w:rPr>
          <w:rFonts w:ascii="Sanchez Regular" w:hAnsi="Sanchez Regular" w:cs="Sanchez Regular"/>
          <w:sz w:val="28"/>
          <w:szCs w:val="28"/>
          <w:lang w:val="en-US"/>
        </w:rPr>
        <w:t>HCERES :</w:t>
      </w:r>
      <w:proofErr w:type="gramEnd"/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• </w:t>
      </w:r>
      <w:r w:rsidRPr="00663776">
        <w:rPr>
          <w:rFonts w:ascii="Sanchez Regular" w:hAnsi="Sanchez Regular" w:cs="Sanchez Regular"/>
          <w:sz w:val="20"/>
          <w:szCs w:val="20"/>
          <w:lang w:val="en-US"/>
        </w:rPr>
        <w:t>Alivon F.,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 xml:space="preserve"> Guillain R.,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>Urban segregation and unemployment: A case study of the urban area of Marseille - Aix-en-Provence (France),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 Regional Science and Urban Economics, 2018, 72, 143-155</w:t>
      </w: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•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>Baumont C., Fizaine F., Voye P., Does the Literature Support a High Willingness to Pay for Green Label Buildings? An Answer with TReatment of Publication Bias,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 Revue d'Economie Politique, 2018, vol. 128, Issue 5</w:t>
      </w: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•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 xml:space="preserve">Brillant L., Limits of arbitrages and interest rates: a debate between Hawtrey, Keynes and Hicks, 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>in Journal of the History of Economic Thought, 2018</w:t>
      </w: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•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>Brillant L,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>Thornton's and Hawtrey's Influences on Hick's Theory of Short-Term Rates of Interest,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 in Journal of the History of Economic Thought, 2018</w:t>
      </w: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>•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 xml:space="preserve"> Brillant L.,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 </w:t>
      </w:r>
      <w:r w:rsidRPr="00663776">
        <w:rPr>
          <w:rFonts w:ascii="Sanchez Regular" w:hAnsi="Sanchez Regular" w:cs="Sanchez Regular"/>
          <w:sz w:val="20"/>
          <w:szCs w:val="20"/>
          <w:lang w:val="en-US"/>
        </w:rPr>
        <w:t>Rojas P.H.,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>Money and Central banking: Rist and Hawtrey on the Policy of the Bank of France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>, European Journal for the History of Economic Thought, 2018</w:t>
      </w: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•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>Bui D. T., Llorca M.,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 </w:t>
      </w:r>
      <w:r w:rsidRPr="00663776">
        <w:rPr>
          <w:rFonts w:ascii="Sanchez Regular" w:hAnsi="Sanchez Regular" w:cs="Sanchez Regular"/>
          <w:sz w:val="20"/>
          <w:szCs w:val="20"/>
          <w:lang w:val="en-US"/>
        </w:rPr>
        <w:t>Bui T.M.H.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,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>Dynamics between stock market movements and fiscal policy: empirical evidence from emerging Asian economics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>, Pacific-Basin Finance Journal, vol. 51, pp. 65-74, 2018</w:t>
      </w: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</w:p>
    <w:p w:rsid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</w:rPr>
      </w:pPr>
      <w:r>
        <w:rPr>
          <w:rFonts w:ascii="Sanchez Regular" w:hAnsi="Sanchez Regular" w:cs="Sanchez Regular"/>
          <w:color w:val="9F1C32"/>
          <w:sz w:val="20"/>
          <w:szCs w:val="20"/>
        </w:rPr>
        <w:t xml:space="preserve">• </w:t>
      </w:r>
      <w:proofErr w:type="spellStart"/>
      <w:r>
        <w:rPr>
          <w:rFonts w:ascii="Sanchez Regular" w:hAnsi="Sanchez Regular" w:cs="Sanchez Regular"/>
          <w:color w:val="005F75"/>
          <w:sz w:val="20"/>
          <w:szCs w:val="20"/>
        </w:rPr>
        <w:t>Buttard</w:t>
      </w:r>
      <w:proofErr w:type="spellEnd"/>
      <w:r>
        <w:rPr>
          <w:rFonts w:ascii="Sanchez Regular" w:hAnsi="Sanchez Regular" w:cs="Sanchez Regular"/>
          <w:color w:val="005F75"/>
          <w:sz w:val="20"/>
          <w:szCs w:val="20"/>
        </w:rPr>
        <w:t xml:space="preserve"> A., Peyron C., </w:t>
      </w:r>
      <w:r>
        <w:rPr>
          <w:rFonts w:ascii="Sanchez Regular" w:hAnsi="Sanchez Regular" w:cs="Sanchez Regular"/>
          <w:sz w:val="20"/>
          <w:szCs w:val="20"/>
        </w:rPr>
        <w:t>Macé F., Morvan L.,</w:t>
      </w:r>
      <w:r>
        <w:rPr>
          <w:rFonts w:ascii="Sanchez Regular" w:hAnsi="Sanchez Regular" w:cs="Sanchez Regular"/>
          <w:color w:val="9F1C32"/>
          <w:sz w:val="20"/>
          <w:szCs w:val="20"/>
        </w:rPr>
        <w:t xml:space="preserve"> </w:t>
      </w:r>
      <w:r>
        <w:rPr>
          <w:rFonts w:ascii="Sanchez Regular" w:hAnsi="Sanchez Regular" w:cs="Sanchez Regular"/>
          <w:color w:val="005F75"/>
          <w:sz w:val="20"/>
          <w:szCs w:val="20"/>
        </w:rPr>
        <w:t>Pharmaciens et coordination des soins primaires en France : quels enjeux ?</w:t>
      </w:r>
      <w:r>
        <w:rPr>
          <w:rFonts w:ascii="Sanchez Regular" w:hAnsi="Sanchez Regular" w:cs="Sanchez Regular"/>
          <w:color w:val="9F1C32"/>
          <w:sz w:val="20"/>
          <w:szCs w:val="20"/>
        </w:rPr>
        <w:t>, Journal de gestion et d'économie médicale, 2018</w:t>
      </w:r>
    </w:p>
    <w:p w:rsid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</w:rPr>
      </w:pP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•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 xml:space="preserve">Claude D., A reconsideration of the link between vertical externality and managerial incentives, 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>Managerial and Decision Economics, vol. 39, Issue 5, pp. 526-534, 2018</w:t>
      </w: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•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>Peyron C., Pélissier A.,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>Béjean S., Preference heterogeneity with respect to next-generation sequencing. A discrete choice experiment among parents of children with rare genetic diseases,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 Social Science and Medicine, 214, 125-132, 2018</w:t>
      </w: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  <w:r w:rsidRPr="00663776">
        <w:rPr>
          <w:rFonts w:ascii="Sanchez Regular" w:hAnsi="Sanchez Regular" w:cs="Sanchez Regular"/>
          <w:sz w:val="28"/>
          <w:szCs w:val="28"/>
          <w:lang w:val="en-US"/>
        </w:rPr>
        <w:t xml:space="preserve">Autres </w:t>
      </w:r>
      <w:proofErr w:type="gramStart"/>
      <w:r w:rsidRPr="00663776">
        <w:rPr>
          <w:rFonts w:ascii="Sanchez Regular" w:hAnsi="Sanchez Regular" w:cs="Sanchez Regular"/>
          <w:sz w:val="28"/>
          <w:szCs w:val="28"/>
          <w:lang w:val="en-US"/>
        </w:rPr>
        <w:t>publications :</w:t>
      </w:r>
      <w:proofErr w:type="gramEnd"/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•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>Baumont C.,</w:t>
      </w:r>
      <w:r w:rsidRPr="00663776">
        <w:rPr>
          <w:rFonts w:ascii="Sanchez Regular" w:hAnsi="Sanchez Regular" w:cs="Sanchez Regular"/>
          <w:sz w:val="20"/>
          <w:szCs w:val="20"/>
          <w:lang w:val="en-US"/>
        </w:rPr>
        <w:t xml:space="preserve"> Droff J.,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 xml:space="preserve"> Barra A.</w:t>
      </w:r>
      <w:proofErr w:type="gramStart"/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>,The</w:t>
      </w:r>
      <w:proofErr w:type="gramEnd"/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 xml:space="preserve"> organization of he defense support systeme : an economic geography perspective,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 Defense and Peace Economics</w:t>
      </w: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•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 xml:space="preserve">Bloy G., </w:t>
      </w:r>
      <w:r w:rsidRPr="00663776">
        <w:rPr>
          <w:rFonts w:ascii="Sanchez Regular" w:hAnsi="Sanchez Regular" w:cs="Sanchez Regular"/>
          <w:sz w:val="20"/>
          <w:szCs w:val="20"/>
          <w:lang w:val="en-US"/>
        </w:rPr>
        <w:t>Thébault J-L., Ringa V., Panjo H., Falcoff H., Rigal L.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,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 xml:space="preserve">Accumulation of unhealthy behaviors: Marked social inequalities in men and women, 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>Preventive Medicine Reports, déc 2018, pp. 1-5</w:t>
      </w: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</w:p>
    <w:p w:rsidR="00663776" w:rsidRPr="00663776" w:rsidRDefault="00663776" w:rsidP="00663776">
      <w:pPr>
        <w:pStyle w:val="texte-encadr-1"/>
        <w:spacing w:before="57"/>
        <w:rPr>
          <w:rStyle w:val="texte-gras"/>
          <w:rFonts w:ascii="Sanchez  SemiBold" w:hAnsi="Sanchez  SemiBold" w:cs="Sanchez  SemiBold"/>
          <w:b w:val="0"/>
          <w:bCs w:val="0"/>
          <w:color w:val="9F1C32"/>
          <w:sz w:val="20"/>
          <w:szCs w:val="20"/>
          <w:lang w:val="en-US"/>
        </w:rPr>
      </w:pP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• </w:t>
      </w:r>
      <w:r w:rsidRPr="00663776">
        <w:rPr>
          <w:rStyle w:val="texte-gras"/>
          <w:rFonts w:ascii="Sanchez Regular" w:hAnsi="Sanchez Regular" w:cs="Sanchez Regular"/>
          <w:b w:val="0"/>
          <w:bCs w:val="0"/>
          <w:color w:val="005F75"/>
          <w:sz w:val="20"/>
          <w:szCs w:val="20"/>
          <w:lang w:val="en-US"/>
        </w:rPr>
        <w:t>Bloy G.,</w:t>
      </w:r>
      <w:r w:rsidRPr="00663776">
        <w:rPr>
          <w:rStyle w:val="texte-gras"/>
          <w:rFonts w:ascii="Sanchez Regular" w:hAnsi="Sanchez Regular" w:cs="Sanchez Regular"/>
          <w:b w:val="0"/>
          <w:bCs w:val="0"/>
          <w:color w:val="9F1C32"/>
          <w:sz w:val="20"/>
          <w:szCs w:val="20"/>
          <w:lang w:val="en-US"/>
        </w:rPr>
        <w:t xml:space="preserve"> </w:t>
      </w:r>
      <w:r w:rsidRPr="00663776">
        <w:rPr>
          <w:rStyle w:val="texte-gras"/>
          <w:rFonts w:ascii="Sanchez Regular" w:hAnsi="Sanchez Regular" w:cs="Sanchez Regular"/>
          <w:b w:val="0"/>
          <w:bCs w:val="0"/>
          <w:sz w:val="20"/>
          <w:szCs w:val="20"/>
          <w:lang w:val="en-US"/>
        </w:rPr>
        <w:t>Casanova L., Ringa V., Chatelard S., Paquet S., Pendola-Luchel I., Panjo H., Bideau C., Deflesselle E., Delpech R., Rigal L.,</w:t>
      </w:r>
      <w:r w:rsidRPr="00663776">
        <w:rPr>
          <w:rStyle w:val="texte-gras"/>
          <w:rFonts w:ascii="Sanchez Regular" w:hAnsi="Sanchez Regular" w:cs="Sanchez Regular"/>
          <w:b w:val="0"/>
          <w:bCs w:val="0"/>
          <w:color w:val="9F1C32"/>
          <w:sz w:val="20"/>
          <w:szCs w:val="20"/>
          <w:lang w:val="en-US"/>
        </w:rPr>
        <w:t xml:space="preserve"> </w:t>
      </w:r>
      <w:r w:rsidRPr="00663776">
        <w:rPr>
          <w:rStyle w:val="texte-gras"/>
          <w:rFonts w:ascii="Sanchez Regular" w:hAnsi="Sanchez Regular" w:cs="Sanchez Regular"/>
          <w:b w:val="0"/>
          <w:bCs w:val="0"/>
          <w:color w:val="005F75"/>
          <w:sz w:val="20"/>
          <w:szCs w:val="20"/>
          <w:lang w:val="en-US"/>
        </w:rPr>
        <w:t>Level of agreement between physician and patient assesment of non-medical health factors,</w:t>
      </w:r>
      <w:r w:rsidRPr="00663776">
        <w:rPr>
          <w:rStyle w:val="texte-gras"/>
          <w:rFonts w:ascii="Sanchez Regular" w:hAnsi="Sanchez Regular" w:cs="Sanchez Regular"/>
          <w:b w:val="0"/>
          <w:bCs w:val="0"/>
          <w:color w:val="9F1C32"/>
          <w:sz w:val="20"/>
          <w:szCs w:val="20"/>
          <w:lang w:val="en-US"/>
        </w:rPr>
        <w:t xml:space="preserve"> Family Practice 2018</w:t>
      </w:r>
    </w:p>
    <w:p w:rsidR="00663776" w:rsidRPr="00663776" w:rsidRDefault="00663776" w:rsidP="00663776">
      <w:pPr>
        <w:pStyle w:val="texte-encadr-1"/>
        <w:spacing w:before="57"/>
        <w:rPr>
          <w:rStyle w:val="texte-gras"/>
          <w:rFonts w:ascii="Sanchez  Italic" w:hAnsi="Sanchez  Italic" w:cs="Sanchez  Italic"/>
          <w:b w:val="0"/>
          <w:bCs w:val="0"/>
          <w:i/>
          <w:iCs/>
          <w:color w:val="005F75"/>
          <w:sz w:val="20"/>
          <w:szCs w:val="20"/>
          <w:lang w:val="en-US"/>
        </w:rPr>
      </w:pP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lastRenderedPageBreak/>
        <w:t xml:space="preserve">•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>Brillant L.,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>Ursula Hicks and Vera Lutz on development finance in the 1940's-1960's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, in Routledge Handbook of the History of Women's Economic Thought, Routledge International Handbook, éd. K. Madden (Millersville, Etats-Unis) </w:t>
      </w:r>
      <w:proofErr w:type="gramStart"/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>et</w:t>
      </w:r>
      <w:proofErr w:type="gramEnd"/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 R. Dimand (University of Brock), Canada, Chapitre n° 18, pp. 341-357, 2018</w:t>
      </w: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•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>Bussière C..,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 </w:t>
      </w:r>
      <w:r w:rsidRPr="00663776">
        <w:rPr>
          <w:rFonts w:ascii="Sanchez Regular" w:hAnsi="Sanchez Regular" w:cs="Sanchez Regular"/>
          <w:sz w:val="20"/>
          <w:szCs w:val="20"/>
          <w:lang w:val="en-US"/>
        </w:rPr>
        <w:t>Naouri D., Pelletier-Fleury N.,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>What are the Determinants of Dental Care Expenditures in Institutions for Adults with Disabilities? Findings from a National Survey,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 Archives of Physical Medicine and Rehabilitation (IF-3.077), 99(8), 1471-8, 2018</w:t>
      </w: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</w:p>
    <w:p w:rsid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</w:rPr>
      </w:pP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•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>Gadreau M.,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 xml:space="preserve"> </w:t>
      </w:r>
      <w:r w:rsidRPr="00663776">
        <w:rPr>
          <w:rFonts w:ascii="Sanchez Regular" w:hAnsi="Sanchez Regular" w:cs="Sanchez Regular"/>
          <w:sz w:val="20"/>
          <w:szCs w:val="20"/>
          <w:lang w:val="en-US"/>
        </w:rPr>
        <w:t xml:space="preserve">Vugnat A., Ylmaz E., Rouusot A., Rodwin V., Bernard A., Creuzot-Larcher C., Quantin C.,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 xml:space="preserve">Did case-based payment influence surgical readmission rates in France? </w:t>
      </w:r>
      <w:r>
        <w:rPr>
          <w:rFonts w:ascii="Sanchez Regular" w:hAnsi="Sanchez Regular" w:cs="Sanchez Regular"/>
          <w:color w:val="005F75"/>
          <w:sz w:val="20"/>
          <w:szCs w:val="20"/>
        </w:rPr>
        <w:t xml:space="preserve">A </w:t>
      </w:r>
      <w:proofErr w:type="spellStart"/>
      <w:r>
        <w:rPr>
          <w:rFonts w:ascii="Sanchez Regular" w:hAnsi="Sanchez Regular" w:cs="Sanchez Regular"/>
          <w:color w:val="005F75"/>
          <w:sz w:val="20"/>
          <w:szCs w:val="20"/>
        </w:rPr>
        <w:t>retrospective</w:t>
      </w:r>
      <w:proofErr w:type="spellEnd"/>
      <w:r>
        <w:rPr>
          <w:rFonts w:ascii="Sanchez Regular" w:hAnsi="Sanchez Regular" w:cs="Sanchez Regular"/>
          <w:color w:val="005F75"/>
          <w:sz w:val="20"/>
          <w:szCs w:val="20"/>
        </w:rPr>
        <w:t xml:space="preserve"> </w:t>
      </w:r>
      <w:proofErr w:type="spellStart"/>
      <w:r>
        <w:rPr>
          <w:rFonts w:ascii="Sanchez Regular" w:hAnsi="Sanchez Regular" w:cs="Sanchez Regular"/>
          <w:color w:val="005F75"/>
          <w:sz w:val="20"/>
          <w:szCs w:val="20"/>
        </w:rPr>
        <w:t>study</w:t>
      </w:r>
      <w:proofErr w:type="spellEnd"/>
      <w:r>
        <w:rPr>
          <w:rFonts w:ascii="Sanchez Regular" w:hAnsi="Sanchez Regular" w:cs="Sanchez Regular"/>
          <w:color w:val="005F75"/>
          <w:sz w:val="20"/>
          <w:szCs w:val="20"/>
        </w:rPr>
        <w:t>,</w:t>
      </w:r>
      <w:r>
        <w:rPr>
          <w:rFonts w:ascii="Sanchez Regular" w:hAnsi="Sanchez Regular" w:cs="Sanchez Regular"/>
          <w:color w:val="9F1C32"/>
          <w:sz w:val="20"/>
          <w:szCs w:val="20"/>
        </w:rPr>
        <w:t xml:space="preserve"> British </w:t>
      </w:r>
      <w:proofErr w:type="spellStart"/>
      <w:r>
        <w:rPr>
          <w:rFonts w:ascii="Sanchez Regular" w:hAnsi="Sanchez Regular" w:cs="Sanchez Regular"/>
          <w:color w:val="9F1C32"/>
          <w:sz w:val="20"/>
          <w:szCs w:val="20"/>
        </w:rPr>
        <w:t>Medical</w:t>
      </w:r>
      <w:proofErr w:type="spellEnd"/>
      <w:r>
        <w:rPr>
          <w:rFonts w:ascii="Sanchez Regular" w:hAnsi="Sanchez Regular" w:cs="Sanchez Regular"/>
          <w:color w:val="9F1C32"/>
          <w:sz w:val="20"/>
          <w:szCs w:val="20"/>
        </w:rPr>
        <w:t xml:space="preserve"> Journal, 2018</w:t>
      </w:r>
    </w:p>
    <w:p w:rsid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</w:rPr>
      </w:pPr>
    </w:p>
    <w:p w:rsid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</w:rPr>
      </w:pPr>
      <w:r>
        <w:rPr>
          <w:rFonts w:ascii="Sanchez Regular" w:hAnsi="Sanchez Regular" w:cs="Sanchez Regular"/>
          <w:color w:val="9F1C32"/>
          <w:sz w:val="20"/>
          <w:szCs w:val="20"/>
        </w:rPr>
        <w:t xml:space="preserve">• </w:t>
      </w:r>
      <w:proofErr w:type="spellStart"/>
      <w:r>
        <w:rPr>
          <w:rFonts w:ascii="Sanchez Regular" w:hAnsi="Sanchez Regular" w:cs="Sanchez Regular"/>
          <w:color w:val="005F75"/>
          <w:sz w:val="20"/>
          <w:szCs w:val="20"/>
        </w:rPr>
        <w:t>Llorca</w:t>
      </w:r>
      <w:proofErr w:type="spellEnd"/>
      <w:r>
        <w:rPr>
          <w:rFonts w:ascii="Sanchez Regular" w:hAnsi="Sanchez Regular" w:cs="Sanchez Regular"/>
          <w:color w:val="005F75"/>
          <w:sz w:val="20"/>
          <w:szCs w:val="20"/>
        </w:rPr>
        <w:t xml:space="preserve"> M.,</w:t>
      </w:r>
      <w:r>
        <w:rPr>
          <w:rFonts w:ascii="Sanchez Regular" w:hAnsi="Sanchez Regular" w:cs="Sanchez Regular"/>
          <w:color w:val="9F1C32"/>
          <w:sz w:val="20"/>
          <w:szCs w:val="20"/>
        </w:rPr>
        <w:t xml:space="preserve"> </w:t>
      </w:r>
      <w:r>
        <w:rPr>
          <w:rFonts w:ascii="Sanchez Regular" w:hAnsi="Sanchez Regular" w:cs="Sanchez Regular"/>
          <w:color w:val="005F75"/>
          <w:sz w:val="20"/>
          <w:szCs w:val="20"/>
        </w:rPr>
        <w:t>L'économie du football français,</w:t>
      </w:r>
      <w:r>
        <w:rPr>
          <w:rFonts w:ascii="Sanchez Regular" w:hAnsi="Sanchez Regular" w:cs="Sanchez Regular"/>
          <w:color w:val="9F1C32"/>
          <w:sz w:val="20"/>
          <w:szCs w:val="20"/>
        </w:rPr>
        <w:t xml:space="preserve"> Revue de droit fiscal, n° 36, 6 septembre 2018</w:t>
      </w:r>
    </w:p>
    <w:p w:rsid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</w:rPr>
      </w:pP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  <w:r>
        <w:rPr>
          <w:rFonts w:ascii="Sanchez Regular" w:hAnsi="Sanchez Regular" w:cs="Sanchez Regular"/>
          <w:color w:val="9F1C32"/>
          <w:sz w:val="20"/>
          <w:szCs w:val="20"/>
        </w:rPr>
        <w:t xml:space="preserve">• </w:t>
      </w:r>
      <w:r>
        <w:rPr>
          <w:rFonts w:ascii="Sanchez Regular" w:hAnsi="Sanchez Regular" w:cs="Sanchez Regular"/>
          <w:color w:val="005F75"/>
          <w:sz w:val="20"/>
          <w:szCs w:val="20"/>
        </w:rPr>
        <w:t xml:space="preserve">Pélissier A., Peyron C., </w:t>
      </w:r>
      <w:proofErr w:type="spellStart"/>
      <w:r>
        <w:rPr>
          <w:rFonts w:ascii="Sanchez Regular" w:hAnsi="Sanchez Regular" w:cs="Sanchez Regular"/>
          <w:sz w:val="20"/>
          <w:szCs w:val="20"/>
        </w:rPr>
        <w:t>Delanne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J., </w:t>
      </w:r>
      <w:proofErr w:type="spellStart"/>
      <w:r>
        <w:rPr>
          <w:rFonts w:ascii="Sanchez Regular" w:hAnsi="Sanchez Regular" w:cs="Sanchez Regular"/>
          <w:sz w:val="20"/>
          <w:szCs w:val="20"/>
        </w:rPr>
        <w:t>Nambot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S., Putois O., Gautier E., </w:t>
      </w:r>
      <w:proofErr w:type="spellStart"/>
      <w:r>
        <w:rPr>
          <w:rFonts w:ascii="Sanchez Regular" w:hAnsi="Sanchez Regular" w:cs="Sanchez Regular"/>
          <w:sz w:val="20"/>
          <w:szCs w:val="20"/>
        </w:rPr>
        <w:t>Thevenon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J., </w:t>
      </w:r>
      <w:proofErr w:type="spellStart"/>
      <w:r>
        <w:rPr>
          <w:rFonts w:ascii="Sanchez Regular" w:hAnsi="Sanchez Regular" w:cs="Sanchez Regular"/>
          <w:sz w:val="20"/>
          <w:szCs w:val="20"/>
        </w:rPr>
        <w:t>Cretin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E., Bruel A-L., </w:t>
      </w:r>
      <w:proofErr w:type="spellStart"/>
      <w:r>
        <w:rPr>
          <w:rFonts w:ascii="Sanchez Regular" w:hAnsi="Sanchez Regular" w:cs="Sanchez Regular"/>
          <w:sz w:val="20"/>
          <w:szCs w:val="20"/>
        </w:rPr>
        <w:t>Goussot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V., </w:t>
      </w:r>
      <w:proofErr w:type="spellStart"/>
      <w:r>
        <w:rPr>
          <w:rFonts w:ascii="Sanchez Regular" w:hAnsi="Sanchez Regular" w:cs="Sanchez Regular"/>
          <w:sz w:val="20"/>
          <w:szCs w:val="20"/>
        </w:rPr>
        <w:t>Vernin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C., Lapointe A-S., </w:t>
      </w:r>
      <w:proofErr w:type="spellStart"/>
      <w:r>
        <w:rPr>
          <w:rFonts w:ascii="Sanchez Regular" w:hAnsi="Sanchez Regular" w:cs="Sanchez Regular"/>
          <w:sz w:val="20"/>
          <w:szCs w:val="20"/>
        </w:rPr>
        <w:t>Bardou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M., </w:t>
      </w:r>
      <w:proofErr w:type="spellStart"/>
      <w:r>
        <w:rPr>
          <w:rFonts w:ascii="Sanchez Regular" w:hAnsi="Sanchez Regular" w:cs="Sanchez Regular"/>
          <w:sz w:val="20"/>
          <w:szCs w:val="20"/>
        </w:rPr>
        <w:t>Luu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M., </w:t>
      </w:r>
      <w:proofErr w:type="spellStart"/>
      <w:r>
        <w:rPr>
          <w:rFonts w:ascii="Sanchez Regular" w:hAnsi="Sanchez Regular" w:cs="Sanchez Regular"/>
          <w:sz w:val="20"/>
          <w:szCs w:val="20"/>
        </w:rPr>
        <w:t>Binquet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C., Lejeune C., Joly L., Juif C., Baurand A., </w:t>
      </w:r>
      <w:proofErr w:type="spellStart"/>
      <w:r>
        <w:rPr>
          <w:rFonts w:ascii="Sanchez Regular" w:hAnsi="Sanchez Regular" w:cs="Sanchez Regular"/>
          <w:sz w:val="20"/>
          <w:szCs w:val="20"/>
        </w:rPr>
        <w:t>Sawka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C., </w:t>
      </w:r>
      <w:proofErr w:type="spellStart"/>
      <w:r>
        <w:rPr>
          <w:rFonts w:ascii="Sanchez Regular" w:hAnsi="Sanchez Regular" w:cs="Sanchez Regular"/>
          <w:sz w:val="20"/>
          <w:szCs w:val="20"/>
        </w:rPr>
        <w:t>Bertolone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G., </w:t>
      </w:r>
      <w:proofErr w:type="spellStart"/>
      <w:r>
        <w:rPr>
          <w:rFonts w:ascii="Sanchez Regular" w:hAnsi="Sanchez Regular" w:cs="Sanchez Regular"/>
          <w:sz w:val="20"/>
          <w:szCs w:val="20"/>
        </w:rPr>
        <w:t>Duffourd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Y., </w:t>
      </w:r>
      <w:proofErr w:type="spellStart"/>
      <w:r>
        <w:rPr>
          <w:rFonts w:ascii="Sanchez Regular" w:hAnsi="Sanchez Regular" w:cs="Sanchez Regular"/>
          <w:sz w:val="20"/>
          <w:szCs w:val="20"/>
        </w:rPr>
        <w:t>Sanlaville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D., </w:t>
      </w:r>
      <w:proofErr w:type="spellStart"/>
      <w:r>
        <w:rPr>
          <w:rFonts w:ascii="Sanchez Regular" w:hAnsi="Sanchez Regular" w:cs="Sanchez Regular"/>
          <w:sz w:val="20"/>
          <w:szCs w:val="20"/>
        </w:rPr>
        <w:t>Pujol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P., Geneviève D., </w:t>
      </w:r>
      <w:proofErr w:type="spellStart"/>
      <w:r>
        <w:rPr>
          <w:rFonts w:ascii="Sanchez Regular" w:hAnsi="Sanchez Regular" w:cs="Sanchez Regular"/>
          <w:sz w:val="20"/>
          <w:szCs w:val="20"/>
        </w:rPr>
        <w:t>Houdayer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F., </w:t>
      </w:r>
      <w:proofErr w:type="spellStart"/>
      <w:r>
        <w:rPr>
          <w:rFonts w:ascii="Sanchez Regular" w:hAnsi="Sanchez Regular" w:cs="Sanchez Regular"/>
          <w:sz w:val="20"/>
          <w:szCs w:val="20"/>
        </w:rPr>
        <w:t>Thauvin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-Robinet C., Faivre L., </w:t>
      </w:r>
      <w:proofErr w:type="spellStart"/>
      <w:r>
        <w:rPr>
          <w:rFonts w:ascii="Sanchez Regular" w:hAnsi="Sanchez Regular" w:cs="Sanchez Regular"/>
          <w:color w:val="005F75"/>
          <w:sz w:val="20"/>
          <w:szCs w:val="20"/>
        </w:rPr>
        <w:t>Secondary</w:t>
      </w:r>
      <w:proofErr w:type="spellEnd"/>
      <w:r>
        <w:rPr>
          <w:rFonts w:ascii="Sanchez Regular" w:hAnsi="Sanchez Regular" w:cs="Sanchez Regular"/>
          <w:color w:val="005F75"/>
          <w:sz w:val="20"/>
          <w:szCs w:val="20"/>
        </w:rPr>
        <w:t xml:space="preserve"> </w:t>
      </w:r>
      <w:proofErr w:type="spellStart"/>
      <w:r>
        <w:rPr>
          <w:rFonts w:ascii="Sanchez Regular" w:hAnsi="Sanchez Regular" w:cs="Sanchez Regular"/>
          <w:color w:val="005F75"/>
          <w:sz w:val="20"/>
          <w:szCs w:val="20"/>
        </w:rPr>
        <w:t>findings</w:t>
      </w:r>
      <w:proofErr w:type="spellEnd"/>
      <w:r>
        <w:rPr>
          <w:rFonts w:ascii="Sanchez Regular" w:hAnsi="Sanchez Regular" w:cs="Sanchez Regular"/>
          <w:color w:val="005F75"/>
          <w:sz w:val="20"/>
          <w:szCs w:val="20"/>
        </w:rPr>
        <w:t xml:space="preserve"> </w:t>
      </w:r>
      <w:proofErr w:type="spellStart"/>
      <w:r>
        <w:rPr>
          <w:rFonts w:ascii="Sanchez Regular" w:hAnsi="Sanchez Regular" w:cs="Sanchez Regular"/>
          <w:color w:val="005F75"/>
          <w:sz w:val="20"/>
          <w:szCs w:val="20"/>
        </w:rPr>
        <w:t>from</w:t>
      </w:r>
      <w:proofErr w:type="spellEnd"/>
      <w:r>
        <w:rPr>
          <w:rFonts w:ascii="Sanchez Regular" w:hAnsi="Sanchez Regular" w:cs="Sanchez Regular"/>
          <w:color w:val="005F75"/>
          <w:sz w:val="20"/>
          <w:szCs w:val="20"/>
        </w:rPr>
        <w:t xml:space="preserve"> </w:t>
      </w:r>
      <w:proofErr w:type="spellStart"/>
      <w:r>
        <w:rPr>
          <w:rFonts w:ascii="Sanchez Regular" w:hAnsi="Sanchez Regular" w:cs="Sanchez Regular"/>
          <w:color w:val="005F75"/>
          <w:sz w:val="20"/>
          <w:szCs w:val="20"/>
        </w:rPr>
        <w:t>whole-exome</w:t>
      </w:r>
      <w:proofErr w:type="spellEnd"/>
      <w:r>
        <w:rPr>
          <w:rFonts w:ascii="Sanchez Regular" w:hAnsi="Sanchez Regular" w:cs="Sanchez Regular"/>
          <w:color w:val="005F75"/>
          <w:sz w:val="20"/>
          <w:szCs w:val="20"/>
        </w:rPr>
        <w:t>/</w:t>
      </w:r>
      <w:proofErr w:type="spellStart"/>
      <w:r>
        <w:rPr>
          <w:rFonts w:ascii="Sanchez Regular" w:hAnsi="Sanchez Regular" w:cs="Sanchez Regular"/>
          <w:color w:val="005F75"/>
          <w:sz w:val="20"/>
          <w:szCs w:val="20"/>
        </w:rPr>
        <w:t>genome</w:t>
      </w:r>
      <w:proofErr w:type="spellEnd"/>
      <w:r>
        <w:rPr>
          <w:rFonts w:ascii="Sanchez Regular" w:hAnsi="Sanchez Regular" w:cs="Sanchez Regular"/>
          <w:color w:val="005F75"/>
          <w:sz w:val="20"/>
          <w:szCs w:val="20"/>
        </w:rPr>
        <w:t xml:space="preserve"> </w:t>
      </w:r>
      <w:proofErr w:type="spellStart"/>
      <w:r>
        <w:rPr>
          <w:rFonts w:ascii="Sanchez Regular" w:hAnsi="Sanchez Regular" w:cs="Sanchez Regular"/>
          <w:color w:val="005F75"/>
          <w:sz w:val="20"/>
          <w:szCs w:val="20"/>
        </w:rPr>
        <w:t>sequencing</w:t>
      </w:r>
      <w:proofErr w:type="spellEnd"/>
      <w:r>
        <w:rPr>
          <w:rFonts w:ascii="Sanchez Regular" w:hAnsi="Sanchez Regular" w:cs="Sanchez Regular"/>
          <w:color w:val="005F75"/>
          <w:sz w:val="20"/>
          <w:szCs w:val="20"/>
        </w:rPr>
        <w:t xml:space="preserve"> </w:t>
      </w:r>
      <w:proofErr w:type="spellStart"/>
      <w:r>
        <w:rPr>
          <w:rFonts w:ascii="Sanchez Regular" w:hAnsi="Sanchez Regular" w:cs="Sanchez Regular"/>
          <w:color w:val="005F75"/>
          <w:sz w:val="20"/>
          <w:szCs w:val="20"/>
        </w:rPr>
        <w:t>evaluating</w:t>
      </w:r>
      <w:proofErr w:type="spellEnd"/>
      <w:r>
        <w:rPr>
          <w:rFonts w:ascii="Sanchez Regular" w:hAnsi="Sanchez Regular" w:cs="Sanchez Regular"/>
          <w:color w:val="005F75"/>
          <w:sz w:val="20"/>
          <w:szCs w:val="20"/>
        </w:rPr>
        <w:t xml:space="preserve"> </w:t>
      </w:r>
      <w:proofErr w:type="spellStart"/>
      <w:r>
        <w:rPr>
          <w:rFonts w:ascii="Sanchez Regular" w:hAnsi="Sanchez Regular" w:cs="Sanchez Regular"/>
          <w:color w:val="005F75"/>
          <w:sz w:val="20"/>
          <w:szCs w:val="20"/>
        </w:rPr>
        <w:t>stakeholder</w:t>
      </w:r>
      <w:proofErr w:type="spellEnd"/>
      <w:r>
        <w:rPr>
          <w:rFonts w:ascii="Sanchez Regular" w:hAnsi="Sanchez Regular" w:cs="Sanchez Regular"/>
          <w:color w:val="005F75"/>
          <w:sz w:val="20"/>
          <w:szCs w:val="20"/>
        </w:rPr>
        <w:t xml:space="preserve"> perspectives. </w:t>
      </w:r>
      <w:r w:rsidRPr="00663776">
        <w:rPr>
          <w:rFonts w:ascii="Sanchez Regular" w:hAnsi="Sanchez Regular" w:cs="Sanchez Regular"/>
          <w:color w:val="005F75"/>
          <w:sz w:val="20"/>
          <w:szCs w:val="20"/>
          <w:lang w:val="en-US"/>
        </w:rPr>
        <w:t xml:space="preserve">A review of the literature, </w:t>
      </w:r>
      <w:r w:rsidRPr="00663776">
        <w:rPr>
          <w:rFonts w:ascii="Sanchez Regular" w:hAnsi="Sanchez Regular" w:cs="Sanchez Regular"/>
          <w:color w:val="9F1C32"/>
          <w:sz w:val="20"/>
          <w:szCs w:val="20"/>
          <w:lang w:val="en-US"/>
        </w:rPr>
        <w:t>in European Journal of Medical Genetics (IF-2.002), S1769-7212(18): 30122-8, 2018</w:t>
      </w:r>
    </w:p>
    <w:p w:rsidR="00663776" w:rsidRP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  <w:lang w:val="en-US"/>
        </w:rPr>
      </w:pPr>
    </w:p>
    <w:p w:rsid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</w:rPr>
      </w:pPr>
      <w:r>
        <w:rPr>
          <w:rFonts w:ascii="Sanchez Regular" w:hAnsi="Sanchez Regular" w:cs="Sanchez Regular"/>
          <w:color w:val="9F1C32"/>
          <w:sz w:val="20"/>
          <w:szCs w:val="20"/>
        </w:rPr>
        <w:t xml:space="preserve">• </w:t>
      </w:r>
      <w:r>
        <w:rPr>
          <w:rFonts w:ascii="Sanchez Regular" w:hAnsi="Sanchez Regular" w:cs="Sanchez Regular"/>
          <w:color w:val="005F75"/>
          <w:sz w:val="20"/>
          <w:szCs w:val="20"/>
        </w:rPr>
        <w:t>Pélissier A., Peyron C.,</w:t>
      </w:r>
      <w:r>
        <w:rPr>
          <w:rFonts w:ascii="Sanchez Regular" w:hAnsi="Sanchez Regular" w:cs="Sanchez Regular"/>
          <w:color w:val="9F1C32"/>
          <w:sz w:val="20"/>
          <w:szCs w:val="20"/>
        </w:rPr>
        <w:t xml:space="preserve"> </w:t>
      </w:r>
      <w:proofErr w:type="spellStart"/>
      <w:r>
        <w:rPr>
          <w:rFonts w:ascii="Sanchez Regular" w:hAnsi="Sanchez Regular" w:cs="Sanchez Regular"/>
          <w:sz w:val="20"/>
          <w:szCs w:val="20"/>
        </w:rPr>
        <w:t>Demougeot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L., </w:t>
      </w:r>
      <w:proofErr w:type="spellStart"/>
      <w:r>
        <w:rPr>
          <w:rFonts w:ascii="Sanchez Regular" w:hAnsi="Sanchez Regular" w:cs="Sanchez Regular"/>
          <w:sz w:val="20"/>
          <w:szCs w:val="20"/>
        </w:rPr>
        <w:t>Houdayer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F., </w:t>
      </w:r>
      <w:proofErr w:type="spellStart"/>
      <w:r>
        <w:rPr>
          <w:rFonts w:ascii="Sanchez Regular" w:hAnsi="Sanchez Regular" w:cs="Sanchez Regular"/>
          <w:sz w:val="20"/>
          <w:szCs w:val="20"/>
        </w:rPr>
        <w:t>Mohrez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F., </w:t>
      </w:r>
      <w:proofErr w:type="spellStart"/>
      <w:r>
        <w:rPr>
          <w:rFonts w:ascii="Sanchez Regular" w:hAnsi="Sanchez Regular" w:cs="Sanchez Regular"/>
          <w:sz w:val="20"/>
          <w:szCs w:val="20"/>
        </w:rPr>
        <w:t>Thevenon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J., </w:t>
      </w:r>
      <w:proofErr w:type="spellStart"/>
      <w:r>
        <w:rPr>
          <w:rFonts w:ascii="Sanchez Regular" w:hAnsi="Sanchez Regular" w:cs="Sanchez Regular"/>
          <w:sz w:val="20"/>
          <w:szCs w:val="20"/>
        </w:rPr>
        <w:t>Duffourd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Y., </w:t>
      </w:r>
      <w:proofErr w:type="spellStart"/>
      <w:r>
        <w:rPr>
          <w:rFonts w:ascii="Sanchez Regular" w:hAnsi="Sanchez Regular" w:cs="Sanchez Regular"/>
          <w:sz w:val="20"/>
          <w:szCs w:val="20"/>
        </w:rPr>
        <w:t>Nambot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S., Gautier E., </w:t>
      </w:r>
      <w:proofErr w:type="spellStart"/>
      <w:r>
        <w:rPr>
          <w:rFonts w:ascii="Sanchez Regular" w:hAnsi="Sanchez Regular" w:cs="Sanchez Regular"/>
          <w:sz w:val="20"/>
          <w:szCs w:val="20"/>
        </w:rPr>
        <w:t>Binquet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C., Rossi M., </w:t>
      </w:r>
      <w:proofErr w:type="spellStart"/>
      <w:r>
        <w:rPr>
          <w:rFonts w:ascii="Sanchez Regular" w:hAnsi="Sanchez Regular" w:cs="Sanchez Regular"/>
          <w:sz w:val="20"/>
          <w:szCs w:val="20"/>
        </w:rPr>
        <w:t>Sanlaville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D., </w:t>
      </w:r>
      <w:proofErr w:type="spellStart"/>
      <w:r>
        <w:rPr>
          <w:rFonts w:ascii="Sanchez Regular" w:hAnsi="Sanchez Regular" w:cs="Sanchez Regular"/>
          <w:sz w:val="20"/>
          <w:szCs w:val="20"/>
        </w:rPr>
        <w:t>Béjean</w:t>
      </w:r>
      <w:proofErr w:type="spellEnd"/>
      <w:r>
        <w:rPr>
          <w:rFonts w:ascii="Sanchez Regular" w:hAnsi="Sanchez Regular" w:cs="Sanchez Regular"/>
          <w:sz w:val="20"/>
          <w:szCs w:val="20"/>
        </w:rPr>
        <w:t xml:space="preserve"> S., </w:t>
      </w:r>
      <w:proofErr w:type="spellStart"/>
      <w:r>
        <w:rPr>
          <w:rFonts w:ascii="Sanchez Regular" w:hAnsi="Sanchez Regular" w:cs="Sanchez Regular"/>
          <w:sz w:val="20"/>
          <w:szCs w:val="20"/>
        </w:rPr>
        <w:t>Thauvin</w:t>
      </w:r>
      <w:proofErr w:type="spellEnd"/>
      <w:r>
        <w:rPr>
          <w:rFonts w:ascii="Sanchez Regular" w:hAnsi="Sanchez Regular" w:cs="Sanchez Regular"/>
          <w:sz w:val="20"/>
          <w:szCs w:val="20"/>
        </w:rPr>
        <w:t>-Robinet C., Faivre L</w:t>
      </w:r>
      <w:r>
        <w:rPr>
          <w:rFonts w:ascii="Sanchez Regular" w:hAnsi="Sanchez Regular" w:cs="Sanchez Regular"/>
          <w:color w:val="9F1C32"/>
          <w:sz w:val="20"/>
          <w:szCs w:val="20"/>
        </w:rPr>
        <w:t xml:space="preserve">. </w:t>
      </w:r>
      <w:r>
        <w:rPr>
          <w:rFonts w:ascii="Sanchez Regular" w:hAnsi="Sanchez Regular" w:cs="Sanchez Regular"/>
          <w:color w:val="005F75"/>
          <w:sz w:val="20"/>
          <w:szCs w:val="20"/>
        </w:rPr>
        <w:t xml:space="preserve">Les modifications de pratique </w:t>
      </w:r>
      <w:proofErr w:type="spellStart"/>
      <w:r>
        <w:rPr>
          <w:rFonts w:ascii="Sanchez Regular" w:hAnsi="Sanchez Regular" w:cs="Sanchez Regular"/>
          <w:color w:val="005F75"/>
          <w:sz w:val="20"/>
          <w:szCs w:val="20"/>
        </w:rPr>
        <w:t>cliniqueliées</w:t>
      </w:r>
      <w:proofErr w:type="spellEnd"/>
      <w:r>
        <w:rPr>
          <w:rFonts w:ascii="Sanchez Regular" w:hAnsi="Sanchez Regular" w:cs="Sanchez Regular"/>
          <w:color w:val="005F75"/>
          <w:sz w:val="20"/>
          <w:szCs w:val="20"/>
        </w:rPr>
        <w:t xml:space="preserve"> à l'arrivée du séquençage haut débit dans le diagnostic génétique des maladies du développement</w:t>
      </w:r>
      <w:r>
        <w:rPr>
          <w:rFonts w:ascii="Sanchez Regular" w:hAnsi="Sanchez Regular" w:cs="Sanchez Regular"/>
          <w:color w:val="9F1C32"/>
          <w:sz w:val="20"/>
          <w:szCs w:val="20"/>
        </w:rPr>
        <w:t>, Archives de pédiatrie, 25(2): 77-83, 2018</w:t>
      </w:r>
    </w:p>
    <w:p w:rsidR="00663776" w:rsidRDefault="00663776" w:rsidP="00663776">
      <w:pPr>
        <w:pStyle w:val="texte-encadr-1"/>
        <w:spacing w:before="57"/>
        <w:rPr>
          <w:rFonts w:ascii="Sanchez Regular" w:hAnsi="Sanchez Regular" w:cs="Sanchez Regular"/>
          <w:color w:val="9F1C32"/>
          <w:sz w:val="20"/>
          <w:szCs w:val="20"/>
        </w:rPr>
      </w:pPr>
    </w:p>
    <w:p w:rsidR="00663776" w:rsidRDefault="00663776" w:rsidP="00663776">
      <w:pPr>
        <w:pStyle w:val="texte-encadr-1"/>
        <w:spacing w:before="57"/>
        <w:rPr>
          <w:rFonts w:ascii="Sanchez Regular" w:hAnsi="Sanchez Regular" w:cs="Sanchez Regular"/>
          <w:i/>
          <w:iCs/>
          <w:color w:val="005F75"/>
          <w:sz w:val="20"/>
          <w:szCs w:val="20"/>
        </w:rPr>
      </w:pPr>
      <w:r>
        <w:rPr>
          <w:rFonts w:ascii="Sanchez Regular" w:hAnsi="Sanchez Regular" w:cs="Sanchez Regular"/>
          <w:color w:val="9F1C32"/>
          <w:sz w:val="20"/>
          <w:szCs w:val="20"/>
        </w:rPr>
        <w:t xml:space="preserve">• </w:t>
      </w:r>
      <w:r>
        <w:rPr>
          <w:rFonts w:ascii="Sanchez Regular" w:hAnsi="Sanchez Regular" w:cs="Sanchez Regular"/>
          <w:color w:val="005F75"/>
          <w:sz w:val="20"/>
          <w:szCs w:val="20"/>
        </w:rPr>
        <w:t xml:space="preserve">Peyron C., Wallut L., Pélissier A., </w:t>
      </w:r>
      <w:proofErr w:type="spellStart"/>
      <w:r>
        <w:rPr>
          <w:rFonts w:ascii="Sanchez Regular" w:hAnsi="Sanchez Regular" w:cs="Sanchez Regular"/>
          <w:color w:val="005F75"/>
          <w:sz w:val="20"/>
          <w:szCs w:val="20"/>
        </w:rPr>
        <w:t>Buttard</w:t>
      </w:r>
      <w:proofErr w:type="spellEnd"/>
      <w:r>
        <w:rPr>
          <w:rFonts w:ascii="Sanchez Regular" w:hAnsi="Sanchez Regular" w:cs="Sanchez Regular"/>
          <w:color w:val="005F75"/>
          <w:sz w:val="20"/>
          <w:szCs w:val="20"/>
        </w:rPr>
        <w:t xml:space="preserve"> A., La diffusion de la télémédecine en médecine de ville : éléments de bilan d'un programme régional en Bourgogne, </w:t>
      </w:r>
      <w:r>
        <w:rPr>
          <w:rFonts w:ascii="Sanchez Regular" w:hAnsi="Sanchez Regular" w:cs="Sanchez Regular"/>
          <w:color w:val="9F1C32"/>
          <w:sz w:val="20"/>
          <w:szCs w:val="20"/>
        </w:rPr>
        <w:t xml:space="preserve">Actes des journées d'études "Organisation, Santé et Numérique", 23-24 octobre 2017, Sous la Direction de </w:t>
      </w:r>
      <w:proofErr w:type="spellStart"/>
      <w:r>
        <w:rPr>
          <w:rFonts w:ascii="Sanchez Regular" w:hAnsi="Sanchez Regular" w:cs="Sanchez Regular"/>
          <w:color w:val="9F1C32"/>
          <w:sz w:val="20"/>
          <w:szCs w:val="20"/>
        </w:rPr>
        <w:t>Cordielier</w:t>
      </w:r>
      <w:proofErr w:type="spellEnd"/>
      <w:r>
        <w:rPr>
          <w:rFonts w:ascii="Sanchez Regular" w:hAnsi="Sanchez Regular" w:cs="Sanchez Regular"/>
          <w:color w:val="9F1C32"/>
          <w:sz w:val="20"/>
          <w:szCs w:val="20"/>
        </w:rPr>
        <w:t xml:space="preserve"> B., </w:t>
      </w:r>
      <w:proofErr w:type="spellStart"/>
      <w:r>
        <w:rPr>
          <w:rFonts w:ascii="Sanchez Regular" w:hAnsi="Sanchez Regular" w:cs="Sanchez Regular"/>
          <w:color w:val="9F1C32"/>
          <w:sz w:val="20"/>
          <w:szCs w:val="20"/>
        </w:rPr>
        <w:t>Galibert</w:t>
      </w:r>
      <w:proofErr w:type="spellEnd"/>
      <w:r>
        <w:rPr>
          <w:rFonts w:ascii="Sanchez Regular" w:hAnsi="Sanchez Regular" w:cs="Sanchez Regular"/>
          <w:color w:val="9F1C32"/>
          <w:sz w:val="20"/>
          <w:szCs w:val="20"/>
        </w:rPr>
        <w:t xml:space="preserve"> O., </w:t>
      </w:r>
      <w:proofErr w:type="spellStart"/>
      <w:r>
        <w:rPr>
          <w:rFonts w:ascii="Sanchez Regular" w:hAnsi="Sanchez Regular" w:cs="Sanchez Regular"/>
          <w:color w:val="9F1C32"/>
          <w:sz w:val="20"/>
          <w:szCs w:val="20"/>
        </w:rPr>
        <w:t>Alemanno</w:t>
      </w:r>
      <w:proofErr w:type="spellEnd"/>
      <w:r>
        <w:rPr>
          <w:rFonts w:ascii="Sanchez Regular" w:hAnsi="Sanchez Regular" w:cs="Sanchez Regular"/>
          <w:color w:val="9F1C32"/>
          <w:sz w:val="20"/>
          <w:szCs w:val="20"/>
        </w:rPr>
        <w:t xml:space="preserve"> S., </w:t>
      </w:r>
      <w:proofErr w:type="spellStart"/>
      <w:r>
        <w:rPr>
          <w:rFonts w:ascii="Sanchez Regular" w:hAnsi="Sanchez Regular" w:cs="Sanchez Regular"/>
          <w:color w:val="9F1C32"/>
          <w:sz w:val="20"/>
          <w:szCs w:val="20"/>
        </w:rPr>
        <w:t>Romeyer</w:t>
      </w:r>
      <w:proofErr w:type="spellEnd"/>
      <w:r>
        <w:rPr>
          <w:rFonts w:ascii="Sanchez Regular" w:hAnsi="Sanchez Regular" w:cs="Sanchez Regular"/>
          <w:color w:val="9F1C32"/>
          <w:sz w:val="20"/>
          <w:szCs w:val="20"/>
        </w:rPr>
        <w:t xml:space="preserve"> H. : 40-41, 2018.</w:t>
      </w:r>
    </w:p>
    <w:p w:rsidR="00663776" w:rsidRDefault="00663776" w:rsidP="00663776">
      <w:pPr>
        <w:pStyle w:val="texte-encadr-1"/>
        <w:spacing w:before="57"/>
        <w:rPr>
          <w:rFonts w:ascii="Sanchez Regular" w:hAnsi="Sanchez Regular" w:cs="Sanchez Regular"/>
          <w:i/>
          <w:iCs/>
          <w:color w:val="005F75"/>
          <w:sz w:val="18"/>
          <w:szCs w:val="18"/>
        </w:rPr>
      </w:pPr>
    </w:p>
    <w:p w:rsidR="00663776" w:rsidRDefault="00663776" w:rsidP="00663776">
      <w:pPr>
        <w:pStyle w:val="texte-encadr-1"/>
        <w:spacing w:before="57"/>
        <w:rPr>
          <w:rFonts w:ascii="Sanchez Regular" w:hAnsi="Sanchez Regular" w:cs="Sanchez Regular"/>
          <w:i/>
          <w:iCs/>
          <w:color w:val="005F75"/>
          <w:sz w:val="18"/>
          <w:szCs w:val="18"/>
        </w:rPr>
      </w:pPr>
      <w:r>
        <w:rPr>
          <w:rFonts w:ascii="Sanchez Regular" w:hAnsi="Sanchez Regular" w:cs="Sanchez Regular"/>
          <w:i/>
          <w:iCs/>
          <w:color w:val="005F75"/>
          <w:sz w:val="18"/>
          <w:szCs w:val="18"/>
        </w:rPr>
        <w:t xml:space="preserve">Retrouvez la collection HAL du </w:t>
      </w:r>
      <w:proofErr w:type="spellStart"/>
      <w:r>
        <w:rPr>
          <w:rFonts w:ascii="Sanchez Regular" w:hAnsi="Sanchez Regular" w:cs="Sanchez Regular"/>
          <w:i/>
          <w:iCs/>
          <w:color w:val="005F75"/>
          <w:sz w:val="18"/>
          <w:szCs w:val="18"/>
        </w:rPr>
        <w:t>LEDi</w:t>
      </w:r>
      <w:proofErr w:type="spellEnd"/>
      <w:r>
        <w:rPr>
          <w:rFonts w:ascii="Sanchez Regular" w:hAnsi="Sanchez Regular" w:cs="Sanchez Regular"/>
          <w:i/>
          <w:iCs/>
          <w:color w:val="005F75"/>
          <w:sz w:val="18"/>
          <w:szCs w:val="18"/>
        </w:rPr>
        <w:t xml:space="preserve"> : </w:t>
      </w:r>
    </w:p>
    <w:p w:rsidR="008A6FFB" w:rsidRDefault="00663776" w:rsidP="00663776">
      <w:r>
        <w:rPr>
          <w:rFonts w:ascii="Sanchez Regular" w:hAnsi="Sanchez Regular" w:cs="Sanchez Regular"/>
          <w:i/>
          <w:iCs/>
          <w:color w:val="005F75"/>
          <w:sz w:val="18"/>
          <w:szCs w:val="18"/>
        </w:rPr>
        <w:t>https://hal.archives-ouvertes.fr/LEDI/index/index/tampid/LEDI/_module/collection/lang/fr/.</w:t>
      </w:r>
      <w:bookmarkStart w:id="0" w:name="_GoBack"/>
      <w:bookmarkEnd w:id="0"/>
    </w:p>
    <w:sectPr w:rsidR="008A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chez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chez Regular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Sanchez 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chez 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76"/>
    <w:rsid w:val="004D2300"/>
    <w:rsid w:val="00663776"/>
    <w:rsid w:val="008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-encadr-1">
    <w:name w:val="texte-encadré-1"/>
    <w:basedOn w:val="Normal"/>
    <w:uiPriority w:val="99"/>
    <w:rsid w:val="00663776"/>
    <w:pPr>
      <w:autoSpaceDE w:val="0"/>
      <w:autoSpaceDN w:val="0"/>
      <w:adjustRightInd w:val="0"/>
      <w:spacing w:after="0" w:line="210" w:lineRule="atLeast"/>
      <w:jc w:val="both"/>
      <w:textAlignment w:val="center"/>
    </w:pPr>
    <w:rPr>
      <w:rFonts w:ascii="Sanchez Light" w:hAnsi="Sanchez Light" w:cs="Sanchez Light"/>
      <w:color w:val="000000"/>
      <w:sz w:val="16"/>
      <w:szCs w:val="16"/>
    </w:rPr>
  </w:style>
  <w:style w:type="character" w:customStyle="1" w:styleId="texte-gras">
    <w:name w:val="texte-gras"/>
    <w:uiPriority w:val="99"/>
    <w:rsid w:val="00663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-encadr-1">
    <w:name w:val="texte-encadré-1"/>
    <w:basedOn w:val="Normal"/>
    <w:uiPriority w:val="99"/>
    <w:rsid w:val="00663776"/>
    <w:pPr>
      <w:autoSpaceDE w:val="0"/>
      <w:autoSpaceDN w:val="0"/>
      <w:adjustRightInd w:val="0"/>
      <w:spacing w:after="0" w:line="210" w:lineRule="atLeast"/>
      <w:jc w:val="both"/>
      <w:textAlignment w:val="center"/>
    </w:pPr>
    <w:rPr>
      <w:rFonts w:ascii="Sanchez Light" w:hAnsi="Sanchez Light" w:cs="Sanchez Light"/>
      <w:color w:val="000000"/>
      <w:sz w:val="16"/>
      <w:szCs w:val="16"/>
    </w:rPr>
  </w:style>
  <w:style w:type="character" w:customStyle="1" w:styleId="texte-gras">
    <w:name w:val="texte-gras"/>
    <w:uiPriority w:val="99"/>
    <w:rsid w:val="00663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LEDI - UB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LEDI</dc:creator>
  <cp:lastModifiedBy>Secrétariat LEDI</cp:lastModifiedBy>
  <cp:revision>1</cp:revision>
  <dcterms:created xsi:type="dcterms:W3CDTF">2019-07-12T07:30:00Z</dcterms:created>
  <dcterms:modified xsi:type="dcterms:W3CDTF">2019-07-12T07:31:00Z</dcterms:modified>
</cp:coreProperties>
</file>